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b/>
          <w:bCs/>
          <w:sz w:val="24"/>
          <w:szCs w:val="24"/>
        </w:rPr>
        <w:t xml:space="preserve">ASES CHEMICAL WORKS</w:t>
      </w:r>
    </w:p>
    <w:p>
      <w:pPr>
        <w:spacing w:after="20"/>
        <w:jc w:val="center"/>
      </w:pPr>
      <w:r>
        <w:rPr>
          <w:b w:val="false"/>
          <w:bCs w:val="false"/>
          <w:sz w:val="18"/>
          <w:szCs w:val="18"/>
        </w:rPr>
        <w:t xml:space="preserve">Brahm Bagh, Jalori Gate, Idgah Road, Jodhpur - 342001, Rajasthan, India</w:t>
      </w:r>
    </w:p>
    <w:p>
      <w:pPr>
        <w:spacing w:after="0"/>
        <w:jc w:val="center"/>
      </w:pPr>
      <w:r>
        <w:rPr>
          <w:b w:val="false"/>
          <w:bCs w:val="false"/>
          <w:sz w:val="18"/>
          <w:szCs w:val="18"/>
        </w:rPr>
        <w:t xml:space="preserve">Cell: +91 9636889954   E-mail: ecom@ases.in   Web: ases.in</w:t>
      </w:r>
    </w:p>
    <w:p>
      <w:pPr>
        <w:spacing w:after="120" w:before="120"/>
        <w:jc w:val="center"/>
      </w:pPr>
      <w:r>
        <w:rPr>
          <w:b/>
          <w:bCs/>
          <w:sz w:val="26"/>
          <w:szCs w:val="26"/>
        </w:rPr>
        <w:t xml:space="preserve">MATERIAL SAFETY DATA SHEET</w:t>
      </w:r>
    </w:p>
    <w:p>
      <w:pPr>
        <w:spacing w:after="40"/>
      </w:pPr>
      <w:r>
        <w:rPr>
          <w:b/>
          <w:bCs/>
          <w:sz w:val="21"/>
          <w:szCs w:val="21"/>
        </w:rPr>
        <w:t xml:space="preserve">CLASSIFICATION OF MATERIAL</w:t>
      </w:r>
    </w:p>
    <w:p>
      <w:pPr>
        <w:spacing w:after="60"/>
      </w:pPr>
      <w:r>
        <w:rPr>
          <w:sz w:val="20"/>
          <w:szCs w:val="20"/>
        </w:rPr>
        <w:t xml:space="preserve">Not Classified as Hazardous.</w:t>
      </w:r>
    </w:p>
    <w:p>
      <w:pPr>
        <w:spacing w:after="60" w:before="220"/>
      </w:pPr>
      <w:r>
        <w:rPr>
          <w:b/>
          <w:bCs/>
          <w:sz w:val="21"/>
          <w:szCs w:val="21"/>
          <w:u w:val="single"/>
        </w:rPr>
        <w:t xml:space="preserve">1. IDENTIFICATION OF THE MATERIAL AND SUPPLIER</w:t>
      </w:r>
    </w:p>
    <w:p>
      <w:pPr>
        <w:spacing w:after="40"/>
      </w:pPr>
      <w:r>
        <w:rPr>
          <w:b/>
          <w:bCs/>
          <w:sz w:val="20"/>
          <w:szCs w:val="20"/>
        </w:rPr>
        <w:t xml:space="preserve">Product Name: </w:t>
      </w:r>
      <w:r>
        <w:rPr>
          <w:sz w:val="20"/>
          <w:szCs w:val="20"/>
        </w:rPr>
        <w:t xml:space="preserve">Fulvic Acid Powder</w:t>
      </w:r>
    </w:p>
    <w:p>
      <w:pPr>
        <w:spacing w:after="40"/>
      </w:pPr>
      <w:r>
        <w:rPr>
          <w:b/>
          <w:bCs/>
          <w:sz w:val="20"/>
          <w:szCs w:val="20"/>
        </w:rPr>
        <w:t xml:space="preserve">Batch No.: </w:t>
      </w:r>
      <w:r>
        <w:rPr>
          <w:sz w:val="20"/>
          <w:szCs w:val="20"/>
        </w:rPr>
        <w:t xml:space="preserve">20260407</w:t>
      </w:r>
    </w:p>
    <w:p>
      <w:pPr>
        <w:spacing w:after="40"/>
      </w:pPr>
      <w:r>
        <w:rPr>
          <w:b/>
          <w:bCs/>
          <w:sz w:val="20"/>
          <w:szCs w:val="20"/>
        </w:rPr>
        <w:t xml:space="preserve">Date of Manufacture: </w:t>
      </w:r>
      <w:r>
        <w:rPr>
          <w:sz w:val="20"/>
          <w:szCs w:val="20"/>
        </w:rPr>
        <w:t xml:space="preserve">04-Jul-2026</w:t>
      </w:r>
    </w:p>
    <w:p>
      <w:pPr>
        <w:spacing w:after="40"/>
      </w:pPr>
      <w:r>
        <w:rPr>
          <w:b/>
          <w:bCs/>
          <w:sz w:val="20"/>
          <w:szCs w:val="20"/>
        </w:rPr>
        <w:t xml:space="preserve">Date of Expiry: </w:t>
      </w:r>
      <w:r>
        <w:rPr>
          <w:sz w:val="20"/>
          <w:szCs w:val="20"/>
        </w:rPr>
        <w:t xml:space="preserve">03-Jul-2029</w:t>
      </w:r>
    </w:p>
    <w:p>
      <w:pPr>
        <w:spacing w:after="40"/>
      </w:pPr>
      <w:r>
        <w:rPr>
          <w:b/>
          <w:bCs/>
          <w:sz w:val="20"/>
          <w:szCs w:val="20"/>
        </w:rPr>
        <w:t xml:space="preserve">Recommended Use: </w:t>
      </w:r>
      <w:r>
        <w:rPr>
          <w:sz w:val="20"/>
          <w:szCs w:val="20"/>
        </w:rPr>
        <w:t xml:space="preserve">Agricultural soil conditioner, plant biostimulant, and micronutrient chelating agent</w:t>
      </w:r>
    </w:p>
    <w:p>
      <w:pPr>
        <w:spacing w:after="40"/>
      </w:pPr>
      <w:r>
        <w:rPr>
          <w:b/>
          <w:bCs/>
          <w:sz w:val="20"/>
          <w:szCs w:val="20"/>
        </w:rPr>
        <w:t xml:space="preserve">Company Name: </w:t>
      </w:r>
      <w:r>
        <w:rPr>
          <w:sz w:val="20"/>
          <w:szCs w:val="20"/>
        </w:rPr>
        <w:t xml:space="preserve">ASES Chemical Works</w:t>
      </w:r>
    </w:p>
    <w:p>
      <w:pPr>
        <w:spacing w:after="40"/>
      </w:pPr>
      <w:r>
        <w:rPr>
          <w:b/>
          <w:bCs/>
          <w:sz w:val="20"/>
          <w:szCs w:val="20"/>
        </w:rPr>
        <w:t xml:space="preserve">Address: </w:t>
      </w:r>
      <w:r>
        <w:rPr>
          <w:sz w:val="20"/>
          <w:szCs w:val="20"/>
        </w:rPr>
        <w:t xml:space="preserve">Brahm Bagh, Jalori Gate, Idgah Road, Jodhpur - 342001, Rajasthan, India</w:t>
      </w:r>
    </w:p>
    <w:p>
      <w:pPr>
        <w:spacing w:after="40"/>
      </w:pPr>
      <w:r>
        <w:rPr>
          <w:b/>
          <w:bCs/>
          <w:sz w:val="20"/>
          <w:szCs w:val="20"/>
        </w:rPr>
        <w:t xml:space="preserve">Telephone: </w:t>
      </w:r>
      <w:r>
        <w:rPr>
          <w:sz w:val="20"/>
          <w:szCs w:val="20"/>
        </w:rPr>
        <w:t xml:space="preserve">0091-9636889954</w:t>
      </w:r>
    </w:p>
    <w:p>
      <w:pPr>
        <w:spacing w:after="40"/>
      </w:pPr>
      <w:r>
        <w:rPr>
          <w:b/>
          <w:bCs/>
          <w:sz w:val="20"/>
          <w:szCs w:val="20"/>
        </w:rPr>
        <w:t xml:space="preserve">Email: </w:t>
      </w:r>
      <w:r>
        <w:rPr>
          <w:sz w:val="20"/>
          <w:szCs w:val="20"/>
        </w:rPr>
        <w:t xml:space="preserve">ecom@ases.in</w:t>
      </w:r>
    </w:p>
    <w:p>
      <w:pPr>
        <w:spacing w:after="60" w:before="220"/>
      </w:pPr>
      <w:r>
        <w:rPr>
          <w:b/>
          <w:bCs/>
          <w:sz w:val="21"/>
          <w:szCs w:val="21"/>
          <w:u w:val="single"/>
        </w:rPr>
        <w:t xml:space="preserve">2. HAZARDS IDENTIFICATION</w:t>
      </w:r>
    </w:p>
    <w:p>
      <w:pPr>
        <w:spacing w:after="60"/>
      </w:pPr>
      <w:r>
        <w:rPr>
          <w:sz w:val="20"/>
          <w:szCs w:val="20"/>
        </w:rPr>
        <w:t xml:space="preserve">Not classified as hazardous under the Globally Harmonised System (GHS) of Classification and Labelling of Chemicals. No signal word, hazard pictogram, or hazard statement required.</w:t>
      </w:r>
    </w:p>
    <w:p>
      <w:pPr>
        <w:spacing w:after="60" w:before="220"/>
      </w:pPr>
      <w:r>
        <w:rPr>
          <w:b/>
          <w:bCs/>
          <w:sz w:val="21"/>
          <w:szCs w:val="21"/>
          <w:u w:val="single"/>
        </w:rPr>
        <w:t xml:space="preserve">3. COMPOSITION / INFORMATION ON INGREDIENTS</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4500"/>
        <w:gridCol w:w="2500"/>
        <w:gridCol w:w="2500"/>
      </w:tblGrid>
      <w:tr>
        <w:tc>
          <w:tcPr>
            <w:tcW w:type="dxa" w:w="450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r>
              <w:rPr>
                <w:b/>
                <w:bCs/>
                <w:sz w:val="19"/>
                <w:szCs w:val="19"/>
              </w:rPr>
              <w:t xml:space="preserve">Chemical Name</w:t>
            </w:r>
          </w:p>
        </w:tc>
        <w:tc>
          <w:tcPr>
            <w:tcW w:type="dxa" w:w="250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r>
              <w:rPr>
                <w:b/>
                <w:bCs/>
                <w:sz w:val="19"/>
                <w:szCs w:val="19"/>
              </w:rPr>
              <w:t xml:space="preserve">CAS No.</w:t>
            </w:r>
          </w:p>
        </w:tc>
        <w:tc>
          <w:tcPr>
            <w:tcW w:type="dxa" w:w="250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r>
              <w:rPr>
                <w:b/>
                <w:bCs/>
                <w:sz w:val="19"/>
                <w:szCs w:val="19"/>
              </w:rPr>
              <w:t xml:space="preserve">Proportion</w:t>
            </w:r>
          </w:p>
        </w:tc>
      </w:tr>
      <w:tr>
        <w:tc>
          <w:tcPr>
            <w:tcW w:type="dxa" w:w="450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r>
              <w:rPr>
                <w:b w:val="false"/>
                <w:bCs w:val="false"/>
                <w:sz w:val="19"/>
                <w:szCs w:val="19"/>
              </w:rPr>
              <w:t xml:space="preserve">Fulvic Acid Powder (naturally derived humic substance)</w:t>
            </w:r>
          </w:p>
        </w:tc>
        <w:tc>
          <w:tcPr>
            <w:tcW w:type="dxa" w:w="250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r>
              <w:rPr>
                <w:b w:val="false"/>
                <w:bCs w:val="false"/>
                <w:sz w:val="19"/>
                <w:szCs w:val="19"/>
              </w:rPr>
              <w:t xml:space="preserve">479-66-3</w:t>
            </w:r>
          </w:p>
        </w:tc>
        <w:tc>
          <w:tcPr>
            <w:tcW w:type="dxa" w:w="250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r>
              <w:rPr>
                <w:b w:val="false"/>
                <w:bCs w:val="false"/>
                <w:sz w:val="19"/>
                <w:szCs w:val="19"/>
              </w:rPr>
              <w:t xml:space="preserve">52.8% (Fulvic Acid content)</w:t>
            </w:r>
          </w:p>
        </w:tc>
      </w:tr>
    </w:tbl>
    <w:p>
      <w:pPr>
        <w:spacing w:after="60"/>
      </w:pPr>
      <w:r>
        <w:rPr>
          <w:sz w:val="20"/>
          <w:szCs w:val="20"/>
        </w:rPr>
        <w:t xml:space="preserve">Typical analysis (per Certificate of Analysis): Nitrogen (N) 6.13%, Phosphorous (P) 0.30%, Potassium (K) 11.8%, Amino Acid 20.20%, Organic Matter 62.55%, pH 6.9. Heavy metals below 50 ppm.</w:t>
      </w:r>
    </w:p>
    <w:p>
      <w:pPr>
        <w:spacing w:after="60" w:before="220"/>
      </w:pPr>
      <w:r>
        <w:rPr>
          <w:b/>
          <w:bCs/>
          <w:sz w:val="21"/>
          <w:szCs w:val="21"/>
          <w:u w:val="single"/>
        </w:rPr>
        <w:t xml:space="preserve">4. FIRST AID MEASURES</w:t>
      </w:r>
    </w:p>
    <w:p>
      <w:pPr>
        <w:spacing w:after="60"/>
        <w:ind w:left="200"/>
      </w:pPr>
      <w:r>
        <w:rPr>
          <w:b/>
          <w:bCs/>
          <w:i/>
          <w:iCs/>
          <w:sz w:val="20"/>
          <w:szCs w:val="20"/>
        </w:rPr>
        <w:t xml:space="preserve">Ingestion: </w:t>
      </w:r>
      <w:r>
        <w:rPr>
          <w:sz w:val="20"/>
          <w:szCs w:val="20"/>
        </w:rPr>
        <w:t xml:space="preserve">Product is not toxic, however may cause gastro-intestinal discomfort if consumed. Do not induce vomiting. Immediately rinse mouth with water (only if patient is conscious). Water can be given to dilute if patient is conscious. Consult a physician or call the poisons information centre.</w:t>
      </w:r>
    </w:p>
    <w:p>
      <w:pPr>
        <w:spacing w:after="60"/>
        <w:ind w:left="200"/>
      </w:pPr>
      <w:r>
        <w:rPr>
          <w:b/>
          <w:bCs/>
          <w:i/>
          <w:iCs/>
          <w:sz w:val="20"/>
          <w:szCs w:val="20"/>
        </w:rPr>
        <w:t xml:space="preserve">Eye: </w:t>
      </w:r>
      <w:r>
        <w:rPr>
          <w:sz w:val="20"/>
          <w:szCs w:val="20"/>
        </w:rPr>
        <w:t xml:space="preserve">Immediately rinse with plenty of water for at least 15 minutes. Hold eyelids apart to ensure rinsing of the entire surface of the eyes and lids with water. If irritation persists, contact a physician.</w:t>
      </w:r>
    </w:p>
    <w:p>
      <w:pPr>
        <w:spacing w:after="60"/>
        <w:ind w:left="200"/>
      </w:pPr>
      <w:r>
        <w:rPr>
          <w:b/>
          <w:bCs/>
          <w:i/>
          <w:iCs/>
          <w:sz w:val="20"/>
          <w:szCs w:val="20"/>
        </w:rPr>
        <w:t xml:space="preserve">Skin: </w:t>
      </w:r>
      <w:r>
        <w:rPr>
          <w:sz w:val="20"/>
          <w:szCs w:val="20"/>
        </w:rPr>
        <w:t xml:space="preserve">Remove contaminated clothing and wash with soap and water. If symptoms such as redness or irritation occur, consult a physician. Launder clothes before re-use.</w:t>
      </w:r>
    </w:p>
    <w:p>
      <w:pPr>
        <w:spacing w:after="60"/>
        <w:ind w:left="200"/>
      </w:pPr>
      <w:r>
        <w:rPr>
          <w:b/>
          <w:bCs/>
          <w:i/>
          <w:iCs/>
          <w:sz w:val="20"/>
          <w:szCs w:val="20"/>
        </w:rPr>
        <w:t xml:space="preserve">Inhalation: </w:t>
      </w:r>
      <w:r>
        <w:rPr>
          <w:sz w:val="20"/>
          <w:szCs w:val="20"/>
        </w:rPr>
        <w:t xml:space="preserve">Seek medical advice if breathing difficulty develops.</w:t>
      </w:r>
    </w:p>
    <w:p>
      <w:pPr>
        <w:spacing w:after="60"/>
        <w:ind w:left="200"/>
      </w:pPr>
      <w:r>
        <w:rPr>
          <w:b/>
          <w:bCs/>
          <w:i/>
          <w:iCs/>
          <w:sz w:val="20"/>
          <w:szCs w:val="20"/>
        </w:rPr>
        <w:t xml:space="preserve">First Aid Facilities: </w:t>
      </w:r>
      <w:r>
        <w:rPr>
          <w:sz w:val="20"/>
          <w:szCs w:val="20"/>
        </w:rPr>
        <w:t xml:space="preserve">Normal washing facilities.</w:t>
      </w:r>
    </w:p>
    <w:p>
      <w:pPr>
        <w:spacing w:after="60"/>
        <w:ind w:left="200"/>
      </w:pPr>
      <w:r>
        <w:rPr>
          <w:b/>
          <w:bCs/>
          <w:i/>
          <w:iCs/>
          <w:sz w:val="20"/>
          <w:szCs w:val="20"/>
        </w:rPr>
        <w:t xml:space="preserve">Advice to Doctor: </w:t>
      </w:r>
      <w:r>
        <w:rPr>
          <w:sz w:val="20"/>
          <w:szCs w:val="20"/>
        </w:rPr>
        <w:t xml:space="preserve">Treat symptomatically.</w:t>
      </w:r>
    </w:p>
    <w:p>
      <w:pPr>
        <w:spacing w:after="60"/>
        <w:ind w:left="200"/>
      </w:pPr>
      <w:r>
        <w:rPr>
          <w:b/>
          <w:bCs/>
          <w:i/>
          <w:iCs/>
          <w:sz w:val="20"/>
          <w:szCs w:val="20"/>
        </w:rPr>
        <w:t xml:space="preserve">General Information: </w:t>
      </w:r>
      <w:r>
        <w:rPr>
          <w:sz w:val="20"/>
          <w:szCs w:val="20"/>
        </w:rPr>
        <w:t xml:space="preserve">N/A</w:t>
      </w:r>
    </w:p>
    <w:p>
      <w:pPr>
        <w:spacing w:after="60"/>
        <w:ind w:left="200"/>
      </w:pPr>
      <w:r>
        <w:rPr>
          <w:b/>
          <w:bCs/>
          <w:i/>
          <w:iCs/>
          <w:sz w:val="20"/>
          <w:szCs w:val="20"/>
        </w:rPr>
        <w:t xml:space="preserve">Hazard Classification: </w:t>
      </w:r>
      <w:r>
        <w:rPr>
          <w:sz w:val="20"/>
          <w:szCs w:val="20"/>
        </w:rPr>
        <w:t xml:space="preserve">Non-Hazardous</w:t>
      </w:r>
    </w:p>
    <w:p>
      <w:pPr>
        <w:spacing w:after="60" w:before="220"/>
      </w:pPr>
      <w:r>
        <w:rPr>
          <w:b/>
          <w:bCs/>
          <w:sz w:val="21"/>
          <w:szCs w:val="21"/>
          <w:u w:val="single"/>
        </w:rPr>
        <w:t xml:space="preserve">5. FIRE FIGHTING MEASURES</w:t>
      </w:r>
    </w:p>
    <w:p>
      <w:pPr>
        <w:spacing w:after="60"/>
        <w:ind w:left="200"/>
      </w:pPr>
      <w:r>
        <w:rPr>
          <w:b/>
          <w:bCs/>
          <w:i/>
          <w:iCs/>
          <w:sz w:val="20"/>
          <w:szCs w:val="20"/>
        </w:rPr>
        <w:t xml:space="preserve">Flammability: </w:t>
      </w:r>
      <w:r>
        <w:rPr>
          <w:sz w:val="20"/>
          <w:szCs w:val="20"/>
        </w:rPr>
        <w:t xml:space="preserve">Combustible organic solid; fine dust may pose a dust explosion risk if dispersed near an ignition source. Fire fighters recommended to wear SCBA.</w:t>
      </w:r>
    </w:p>
    <w:p>
      <w:pPr>
        <w:spacing w:after="60"/>
        <w:ind w:left="200"/>
      </w:pPr>
      <w:r>
        <w:rPr>
          <w:b/>
          <w:bCs/>
          <w:i/>
          <w:iCs/>
          <w:sz w:val="20"/>
          <w:szCs w:val="20"/>
        </w:rPr>
        <w:t xml:space="preserve">Extinguishing Media: </w:t>
      </w:r>
      <w:r>
        <w:rPr>
          <w:sz w:val="20"/>
          <w:szCs w:val="20"/>
        </w:rPr>
        <w:t xml:space="preserve">Use extinguishing media suitable for surrounding fire situation (water spray, dry chemical, foam, CO2).</w:t>
      </w:r>
    </w:p>
    <w:p>
      <w:pPr>
        <w:spacing w:after="60"/>
        <w:ind w:left="200"/>
      </w:pPr>
      <w:r>
        <w:rPr>
          <w:b/>
          <w:bCs/>
          <w:i/>
          <w:iCs/>
          <w:sz w:val="20"/>
          <w:szCs w:val="20"/>
        </w:rPr>
        <w:t xml:space="preserve">Hazchem Code: </w:t>
      </w:r>
      <w:r>
        <w:rPr>
          <w:sz w:val="20"/>
          <w:szCs w:val="20"/>
        </w:rPr>
        <w:t xml:space="preserve">N/A</w:t>
      </w:r>
    </w:p>
    <w:p>
      <w:pPr>
        <w:spacing w:after="60"/>
        <w:ind w:left="200"/>
      </w:pPr>
      <w:r>
        <w:rPr>
          <w:b/>
          <w:bCs/>
          <w:i/>
          <w:iCs/>
          <w:sz w:val="20"/>
          <w:szCs w:val="20"/>
        </w:rPr>
        <w:t xml:space="preserve">Precautions in Connection with Fire: </w:t>
      </w:r>
      <w:r>
        <w:rPr>
          <w:sz w:val="20"/>
          <w:szCs w:val="20"/>
        </w:rPr>
        <w:t xml:space="preserve">Wear SCBA and contain run-off to prevent entry into water or drainage systems.</w:t>
      </w:r>
    </w:p>
    <w:p>
      <w:pPr>
        <w:spacing w:after="60" w:before="220"/>
      </w:pPr>
      <w:r>
        <w:rPr>
          <w:b/>
          <w:bCs/>
          <w:sz w:val="21"/>
          <w:szCs w:val="21"/>
          <w:u w:val="single"/>
        </w:rPr>
        <w:t xml:space="preserve">6. ACCIDENTAL RELEASE MEASURES</w:t>
      </w:r>
    </w:p>
    <w:p>
      <w:pPr>
        <w:spacing w:after="60"/>
      </w:pPr>
      <w:r>
        <w:rPr>
          <w:sz w:val="20"/>
          <w:szCs w:val="20"/>
        </w:rPr>
        <w:t xml:space="preserve">Clean up all spills immediately. Avoid breathing dust and contact with skin and eyes. Control personal contact by using protective equipment. Sweep/shovel up spill and place in suitable labelled containers for waste disposal. Wash area with water (prevent run-off from entering drains).</w:t>
      </w:r>
    </w:p>
    <w:p>
      <w:pPr>
        <w:spacing w:after="60" w:before="220"/>
      </w:pPr>
      <w:r>
        <w:rPr>
          <w:b/>
          <w:bCs/>
          <w:sz w:val="21"/>
          <w:szCs w:val="21"/>
          <w:u w:val="single"/>
        </w:rPr>
        <w:t xml:space="preserve">7. HANDLING AND STORAGE</w:t>
      </w:r>
    </w:p>
    <w:p>
      <w:pPr>
        <w:spacing w:after="60"/>
        <w:ind w:left="200"/>
      </w:pPr>
      <w:r>
        <w:rPr>
          <w:b/>
          <w:bCs/>
          <w:i/>
          <w:iCs/>
          <w:sz w:val="20"/>
          <w:szCs w:val="20"/>
        </w:rPr>
        <w:t xml:space="preserve">Precautions for Safe Handling: </w:t>
      </w:r>
      <w:r>
        <w:rPr>
          <w:sz w:val="20"/>
          <w:szCs w:val="20"/>
        </w:rPr>
        <w:t xml:space="preserve">Avoid generating dust. Avoid contact with skin and eyes.</w:t>
      </w:r>
    </w:p>
    <w:p>
      <w:pPr>
        <w:spacing w:after="60"/>
        <w:ind w:left="200"/>
      </w:pPr>
      <w:r>
        <w:rPr>
          <w:b/>
          <w:bCs/>
          <w:i/>
          <w:iCs/>
          <w:sz w:val="20"/>
          <w:szCs w:val="20"/>
        </w:rPr>
        <w:t xml:space="preserve">Storage: </w:t>
      </w:r>
      <w:r>
        <w:rPr>
          <w:sz w:val="20"/>
          <w:szCs w:val="20"/>
        </w:rPr>
        <w:t xml:space="preserve">Keep out of reach of children. Store in a cool, dry area in original sealed container/bag. Do not store in prolonged sunlight.</w:t>
      </w:r>
    </w:p>
    <w:p>
      <w:pPr>
        <w:spacing w:after="60" w:before="220"/>
      </w:pPr>
      <w:r>
        <w:rPr>
          <w:b/>
          <w:bCs/>
          <w:sz w:val="21"/>
          <w:szCs w:val="21"/>
          <w:u w:val="single"/>
        </w:rPr>
        <w:t xml:space="preserve">8. EXPOSURE CONTROLS/PERSONAL PROTECTION</w:t>
      </w:r>
    </w:p>
    <w:p>
      <w:pPr>
        <w:spacing w:after="60"/>
        <w:ind w:left="200"/>
      </w:pPr>
      <w:r>
        <w:rPr>
          <w:b/>
          <w:bCs/>
          <w:i/>
          <w:iCs/>
          <w:sz w:val="20"/>
          <w:szCs w:val="20"/>
        </w:rPr>
        <w:t xml:space="preserve">National Exposure Standards: </w:t>
      </w:r>
      <w:r>
        <w:rPr>
          <w:sz w:val="20"/>
          <w:szCs w:val="20"/>
        </w:rPr>
        <w:t xml:space="preserve">None established</w:t>
      </w:r>
    </w:p>
    <w:p>
      <w:pPr>
        <w:spacing w:after="60"/>
        <w:ind w:left="200"/>
      </w:pPr>
      <w:r>
        <w:rPr>
          <w:b/>
          <w:bCs/>
          <w:i/>
          <w:iCs/>
          <w:sz w:val="20"/>
          <w:szCs w:val="20"/>
        </w:rPr>
        <w:t xml:space="preserve">Biological Limit Values: </w:t>
      </w:r>
      <w:r>
        <w:rPr>
          <w:sz w:val="20"/>
          <w:szCs w:val="20"/>
        </w:rPr>
        <w:t xml:space="preserve">None established</w:t>
      </w:r>
    </w:p>
    <w:p>
      <w:pPr>
        <w:spacing w:after="60"/>
        <w:ind w:left="200"/>
      </w:pPr>
      <w:r>
        <w:rPr>
          <w:b/>
          <w:bCs/>
          <w:i/>
          <w:iCs/>
          <w:sz w:val="20"/>
          <w:szCs w:val="20"/>
        </w:rPr>
        <w:t xml:space="preserve">Engineering Controls: </w:t>
      </w:r>
      <w:r>
        <w:rPr>
          <w:sz w:val="20"/>
          <w:szCs w:val="20"/>
        </w:rPr>
        <w:t xml:space="preserve">None established; local exhaust ventilation recommended where dust is generated</w:t>
      </w:r>
    </w:p>
    <w:p>
      <w:pPr>
        <w:spacing w:after="60"/>
        <w:ind w:left="200"/>
      </w:pPr>
      <w:r>
        <w:rPr>
          <w:b/>
          <w:bCs/>
          <w:i/>
          <w:iCs/>
          <w:sz w:val="20"/>
          <w:szCs w:val="20"/>
        </w:rPr>
        <w:t xml:space="preserve">Personal Protective Equipment: </w:t>
      </w:r>
      <w:r>
        <w:rPr>
          <w:sz w:val="20"/>
          <w:szCs w:val="20"/>
        </w:rPr>
        <w:t xml:space="preserve">Gloves, safety glasses. Dust mask if dust is present.</w:t>
      </w:r>
    </w:p>
    <w:p>
      <w:pPr>
        <w:spacing w:after="60" w:before="220"/>
      </w:pPr>
      <w:r>
        <w:rPr>
          <w:b/>
          <w:bCs/>
          <w:sz w:val="21"/>
          <w:szCs w:val="21"/>
          <w:u w:val="single"/>
        </w:rPr>
        <w:t xml:space="preserve">9. PHYSICAL AND CHEMICAL PROPERTIES</w:t>
      </w:r>
    </w:p>
    <w:p>
      <w:pPr>
        <w:spacing w:after="60"/>
        <w:ind w:left="200"/>
      </w:pPr>
      <w:r>
        <w:rPr>
          <w:b/>
          <w:bCs/>
          <w:i/>
          <w:iCs/>
          <w:sz w:val="20"/>
          <w:szCs w:val="20"/>
        </w:rPr>
        <w:t xml:space="preserve">Appearance: </w:t>
      </w:r>
      <w:r>
        <w:rPr>
          <w:sz w:val="20"/>
          <w:szCs w:val="20"/>
        </w:rPr>
        <w:t xml:space="preserve">Dark brown powder</w:t>
      </w:r>
    </w:p>
    <w:p>
      <w:pPr>
        <w:spacing w:after="60"/>
        <w:ind w:left="200"/>
      </w:pPr>
      <w:r>
        <w:rPr>
          <w:b/>
          <w:bCs/>
          <w:i/>
          <w:iCs/>
          <w:sz w:val="20"/>
          <w:szCs w:val="20"/>
        </w:rPr>
        <w:t xml:space="preserve">Odour: </w:t>
      </w:r>
      <w:r>
        <w:rPr>
          <w:sz w:val="20"/>
          <w:szCs w:val="20"/>
        </w:rPr>
        <w:t xml:space="preserve">Characteristic</w:t>
      </w:r>
    </w:p>
    <w:p>
      <w:pPr>
        <w:spacing w:after="60"/>
        <w:ind w:left="200"/>
      </w:pPr>
      <w:r>
        <w:rPr>
          <w:b/>
          <w:bCs/>
          <w:i/>
          <w:iCs/>
          <w:sz w:val="20"/>
          <w:szCs w:val="20"/>
        </w:rPr>
        <w:t xml:space="preserve">pH: </w:t>
      </w:r>
      <w:r>
        <w:rPr>
          <w:sz w:val="20"/>
          <w:szCs w:val="20"/>
        </w:rPr>
        <w:t xml:space="preserve">6.9 (as supplied)</w:t>
      </w:r>
    </w:p>
    <w:p>
      <w:pPr>
        <w:spacing w:after="60"/>
        <w:ind w:left="200"/>
      </w:pPr>
      <w:r>
        <w:rPr>
          <w:b/>
          <w:bCs/>
          <w:i/>
          <w:iCs/>
          <w:sz w:val="20"/>
          <w:szCs w:val="20"/>
        </w:rPr>
        <w:t xml:space="preserve">Flammability: </w:t>
      </w:r>
      <w:r>
        <w:rPr>
          <w:sz w:val="20"/>
          <w:szCs w:val="20"/>
        </w:rPr>
        <w:t xml:space="preserve">Combustible (organic solid/dust)</w:t>
      </w:r>
    </w:p>
    <w:p>
      <w:pPr>
        <w:spacing w:after="60"/>
        <w:ind w:left="200"/>
      </w:pPr>
      <w:r>
        <w:rPr>
          <w:b/>
          <w:bCs/>
          <w:i/>
          <w:iCs/>
          <w:sz w:val="20"/>
          <w:szCs w:val="20"/>
        </w:rPr>
        <w:t xml:space="preserve">Solubility in Water: </w:t>
      </w:r>
      <w:r>
        <w:rPr>
          <w:sz w:val="20"/>
          <w:szCs w:val="20"/>
        </w:rPr>
        <w:t xml:space="preserve">Soluble (100% as per COA)</w:t>
      </w:r>
    </w:p>
    <w:p>
      <w:pPr>
        <w:spacing w:after="60"/>
        <w:ind w:left="200"/>
      </w:pPr>
      <w:r>
        <w:rPr>
          <w:b/>
          <w:bCs/>
          <w:i/>
          <w:iCs/>
          <w:sz w:val="20"/>
          <w:szCs w:val="20"/>
        </w:rPr>
        <w:t xml:space="preserve">Lower Explosion Limit: </w:t>
      </w:r>
      <w:r>
        <w:rPr>
          <w:sz w:val="20"/>
          <w:szCs w:val="20"/>
        </w:rPr>
        <w:t xml:space="preserve">No data available</w:t>
      </w:r>
    </w:p>
    <w:p>
      <w:pPr>
        <w:spacing w:after="60"/>
        <w:ind w:left="200"/>
      </w:pPr>
      <w:r>
        <w:rPr>
          <w:b/>
          <w:bCs/>
          <w:i/>
          <w:iCs/>
          <w:sz w:val="20"/>
          <w:szCs w:val="20"/>
        </w:rPr>
        <w:t xml:space="preserve">Upper Explosion Limit: </w:t>
      </w:r>
      <w:r>
        <w:rPr>
          <w:sz w:val="20"/>
          <w:szCs w:val="20"/>
        </w:rPr>
        <w:t xml:space="preserve">No data available</w:t>
      </w:r>
    </w:p>
    <w:p>
      <w:pPr>
        <w:spacing w:after="60"/>
        <w:ind w:left="200"/>
      </w:pPr>
      <w:r>
        <w:rPr>
          <w:b/>
          <w:bCs/>
          <w:i/>
          <w:iCs/>
          <w:sz w:val="20"/>
          <w:szCs w:val="20"/>
        </w:rPr>
        <w:t xml:space="preserve">Bulk Density: </w:t>
      </w:r>
      <w:r>
        <w:rPr>
          <w:sz w:val="20"/>
          <w:szCs w:val="20"/>
        </w:rPr>
        <w:t xml:space="preserve">No data available</w:t>
      </w:r>
    </w:p>
    <w:p>
      <w:pPr>
        <w:spacing w:after="60"/>
        <w:ind w:left="200"/>
      </w:pPr>
      <w:r>
        <w:rPr>
          <w:b/>
          <w:bCs/>
          <w:i/>
          <w:iCs/>
          <w:sz w:val="20"/>
          <w:szCs w:val="20"/>
        </w:rPr>
        <w:t xml:space="preserve">Conductivity: </w:t>
      </w:r>
      <w:r>
        <w:rPr>
          <w:sz w:val="20"/>
          <w:szCs w:val="20"/>
        </w:rPr>
        <w:t xml:space="preserve">No data available</w:t>
      </w:r>
    </w:p>
    <w:p>
      <w:pPr>
        <w:spacing w:after="60"/>
        <w:ind w:left="200"/>
      </w:pPr>
      <w:r>
        <w:rPr>
          <w:b/>
          <w:bCs/>
          <w:i/>
          <w:iCs/>
          <w:sz w:val="20"/>
          <w:szCs w:val="20"/>
        </w:rPr>
        <w:t xml:space="preserve">Melting Point: </w:t>
      </w:r>
      <w:r>
        <w:rPr>
          <w:sz w:val="20"/>
          <w:szCs w:val="20"/>
        </w:rPr>
        <w:t xml:space="preserve">No data available</w:t>
      </w:r>
    </w:p>
    <w:p>
      <w:pPr>
        <w:spacing w:after="60"/>
        <w:ind w:left="200"/>
      </w:pPr>
      <w:r>
        <w:rPr>
          <w:b/>
          <w:bCs/>
          <w:i/>
          <w:iCs/>
          <w:sz w:val="20"/>
          <w:szCs w:val="20"/>
        </w:rPr>
        <w:t xml:space="preserve">Boiling Point: </w:t>
      </w:r>
      <w:r>
        <w:rPr>
          <w:sz w:val="20"/>
          <w:szCs w:val="20"/>
        </w:rPr>
        <w:t xml:space="preserve">No data available</w:t>
      </w:r>
    </w:p>
    <w:p>
      <w:pPr>
        <w:spacing w:after="60"/>
        <w:ind w:left="200"/>
      </w:pPr>
      <w:r>
        <w:rPr>
          <w:b/>
          <w:bCs/>
          <w:i/>
          <w:iCs/>
          <w:sz w:val="20"/>
          <w:szCs w:val="20"/>
        </w:rPr>
        <w:t xml:space="preserve">Vapour Pressure: </w:t>
      </w:r>
      <w:r>
        <w:rPr>
          <w:sz w:val="20"/>
          <w:szCs w:val="20"/>
        </w:rPr>
        <w:t xml:space="preserve">No data available</w:t>
      </w:r>
    </w:p>
    <w:p>
      <w:pPr>
        <w:spacing w:after="60" w:before="220"/>
      </w:pPr>
      <w:r>
        <w:rPr>
          <w:b/>
          <w:bCs/>
          <w:sz w:val="21"/>
          <w:szCs w:val="21"/>
          <w:u w:val="single"/>
        </w:rPr>
        <w:t xml:space="preserve">10. STABILITY AND REACTIVITY</w:t>
      </w:r>
    </w:p>
    <w:p>
      <w:pPr>
        <w:spacing w:after="60"/>
        <w:ind w:left="200"/>
      </w:pPr>
      <w:r>
        <w:rPr>
          <w:b/>
          <w:bCs/>
          <w:i/>
          <w:iCs/>
          <w:sz w:val="20"/>
          <w:szCs w:val="20"/>
        </w:rPr>
        <w:t xml:space="preserve">Stability: </w:t>
      </w:r>
      <w:r>
        <w:rPr>
          <w:sz w:val="20"/>
          <w:szCs w:val="20"/>
        </w:rPr>
        <w:t xml:space="preserve">Stable under normal conditions of use.</w:t>
      </w:r>
    </w:p>
    <w:p>
      <w:pPr>
        <w:spacing w:after="60"/>
        <w:ind w:left="200"/>
      </w:pPr>
      <w:r>
        <w:rPr>
          <w:b/>
          <w:bCs/>
          <w:i/>
          <w:iCs/>
          <w:sz w:val="20"/>
          <w:szCs w:val="20"/>
        </w:rPr>
        <w:t xml:space="preserve">Hazardous Reactions &amp; Materials to Avoid: </w:t>
      </w:r>
      <w:r>
        <w:rPr>
          <w:sz w:val="20"/>
          <w:szCs w:val="20"/>
        </w:rPr>
        <w:t xml:space="preserve">Hazardous polymerization will not occur. Avoid heat, flames, and strong oxidising agents.</w:t>
      </w:r>
    </w:p>
    <w:p>
      <w:pPr>
        <w:spacing w:after="60"/>
        <w:ind w:left="200"/>
      </w:pPr>
      <w:r>
        <w:rPr>
          <w:b/>
          <w:bCs/>
          <w:i/>
          <w:iCs/>
          <w:sz w:val="20"/>
          <w:szCs w:val="20"/>
        </w:rPr>
        <w:t xml:space="preserve">Hazardous Decomposition Products: </w:t>
      </w:r>
      <w:r>
        <w:rPr>
          <w:sz w:val="20"/>
          <w:szCs w:val="20"/>
        </w:rPr>
        <w:t xml:space="preserve">Limited evolution of carbon oxides if burned.</w:t>
      </w:r>
    </w:p>
    <w:p>
      <w:pPr>
        <w:spacing w:after="60" w:before="220"/>
      </w:pPr>
      <w:r>
        <w:rPr>
          <w:b/>
          <w:bCs/>
          <w:sz w:val="21"/>
          <w:szCs w:val="21"/>
          <w:u w:val="single"/>
        </w:rPr>
        <w:t xml:space="preserve">11. TOXICOLOGICAL INFORMATION</w:t>
      </w:r>
    </w:p>
    <w:p>
      <w:pPr>
        <w:spacing w:after="40"/>
      </w:pPr>
      <w:r>
        <w:rPr>
          <w:b/>
          <w:bCs/>
          <w:sz w:val="20"/>
          <w:szCs w:val="20"/>
        </w:rPr>
        <w:t xml:space="preserve">ACUTE HEALTH EFFECTS</w:t>
      </w:r>
    </w:p>
    <w:p>
      <w:pPr>
        <w:spacing w:after="60"/>
        <w:ind w:left="200"/>
      </w:pPr>
      <w:r>
        <w:rPr>
          <w:b/>
          <w:bCs/>
          <w:i/>
          <w:iCs/>
          <w:sz w:val="20"/>
          <w:szCs w:val="20"/>
        </w:rPr>
        <w:t xml:space="preserve">Ingestion: </w:t>
      </w:r>
      <w:r>
        <w:rPr>
          <w:sz w:val="20"/>
          <w:szCs w:val="20"/>
        </w:rPr>
        <w:t xml:space="preserve">May cause gastro-intestinal discomfort if consumed.</w:t>
      </w:r>
    </w:p>
    <w:p>
      <w:pPr>
        <w:spacing w:after="60"/>
        <w:ind w:left="200"/>
      </w:pPr>
      <w:r>
        <w:rPr>
          <w:b/>
          <w:bCs/>
          <w:i/>
          <w:iCs/>
          <w:sz w:val="20"/>
          <w:szCs w:val="20"/>
        </w:rPr>
        <w:t xml:space="preserve">Eye: </w:t>
      </w:r>
      <w:r>
        <w:rPr>
          <w:sz w:val="20"/>
          <w:szCs w:val="20"/>
        </w:rPr>
        <w:t xml:space="preserve">May cause irritation.</w:t>
      </w:r>
    </w:p>
    <w:p>
      <w:pPr>
        <w:spacing w:after="60"/>
        <w:ind w:left="200"/>
      </w:pPr>
      <w:r>
        <w:rPr>
          <w:b/>
          <w:bCs/>
          <w:i/>
          <w:iCs/>
          <w:sz w:val="20"/>
          <w:szCs w:val="20"/>
        </w:rPr>
        <w:t xml:space="preserve">Skin: </w:t>
      </w:r>
      <w:r>
        <w:rPr>
          <w:sz w:val="20"/>
          <w:szCs w:val="20"/>
        </w:rPr>
        <w:t xml:space="preserve">May cause irritation after prolonged or repeated exposure.</w:t>
      </w:r>
    </w:p>
    <w:p>
      <w:pPr>
        <w:spacing w:after="60"/>
        <w:ind w:left="200"/>
      </w:pPr>
      <w:r>
        <w:rPr>
          <w:b/>
          <w:bCs/>
          <w:i/>
          <w:iCs/>
          <w:sz w:val="20"/>
          <w:szCs w:val="20"/>
        </w:rPr>
        <w:t xml:space="preserve">Inhalation: </w:t>
      </w:r>
      <w:r>
        <w:rPr>
          <w:sz w:val="20"/>
          <w:szCs w:val="20"/>
        </w:rPr>
        <w:t xml:space="preserve">Dust may cause respiratory irritation.</w:t>
      </w:r>
    </w:p>
    <w:p>
      <w:pPr>
        <w:spacing w:after="60" w:before="220"/>
      </w:pPr>
      <w:r>
        <w:rPr>
          <w:b/>
          <w:bCs/>
          <w:sz w:val="21"/>
          <w:szCs w:val="21"/>
          <w:u w:val="single"/>
        </w:rPr>
        <w:t xml:space="preserve">12. ECOLOGICAL INFORMATION</w:t>
      </w:r>
    </w:p>
    <w:p>
      <w:pPr>
        <w:spacing w:after="60"/>
        <w:ind w:left="200"/>
      </w:pPr>
      <w:r>
        <w:rPr>
          <w:b/>
          <w:bCs/>
          <w:i/>
          <w:iCs/>
          <w:sz w:val="20"/>
          <w:szCs w:val="20"/>
        </w:rPr>
        <w:t xml:space="preserve">Ecotoxicity: </w:t>
      </w:r>
      <w:r>
        <w:rPr>
          <w:sz w:val="20"/>
          <w:szCs w:val="20"/>
        </w:rPr>
        <w:t xml:space="preserve">No data available; fulvic acid is a naturally occurring soil/water constituent, not expected to be harmful to aquatic organisms at recommended application rates.</w:t>
      </w:r>
    </w:p>
    <w:p>
      <w:pPr>
        <w:spacing w:after="60"/>
        <w:ind w:left="200"/>
      </w:pPr>
      <w:r>
        <w:rPr>
          <w:b/>
          <w:bCs/>
          <w:i/>
          <w:iCs/>
          <w:sz w:val="20"/>
          <w:szCs w:val="20"/>
        </w:rPr>
        <w:t xml:space="preserve">Persistence/Degradability: </w:t>
      </w:r>
      <w:r>
        <w:rPr>
          <w:sz w:val="20"/>
          <w:szCs w:val="20"/>
        </w:rPr>
        <w:t xml:space="preserve">Naturally occurring organic substance; not expected to persist abnormally.</w:t>
      </w:r>
    </w:p>
    <w:p>
      <w:pPr>
        <w:spacing w:after="60"/>
        <w:ind w:left="200"/>
      </w:pPr>
      <w:r>
        <w:rPr>
          <w:b/>
          <w:bCs/>
          <w:i/>
          <w:iCs/>
          <w:sz w:val="20"/>
          <w:szCs w:val="20"/>
        </w:rPr>
        <w:t xml:space="preserve">Mobility: </w:t>
      </w:r>
      <w:r>
        <w:rPr>
          <w:sz w:val="20"/>
          <w:szCs w:val="20"/>
        </w:rPr>
        <w:t xml:space="preserve">No data available</w:t>
      </w:r>
    </w:p>
    <w:p>
      <w:pPr>
        <w:spacing w:after="60"/>
        <w:ind w:left="200"/>
      </w:pPr>
      <w:r>
        <w:rPr>
          <w:b/>
          <w:bCs/>
          <w:i/>
          <w:iCs/>
          <w:sz w:val="20"/>
          <w:szCs w:val="20"/>
        </w:rPr>
        <w:t xml:space="preserve">Environmental Protection: </w:t>
      </w:r>
      <w:r>
        <w:rPr>
          <w:sz w:val="20"/>
          <w:szCs w:val="20"/>
        </w:rPr>
        <w:t xml:space="preserve">No data available</w:t>
      </w:r>
    </w:p>
    <w:p>
      <w:pPr>
        <w:spacing w:after="60" w:before="220"/>
      </w:pPr>
      <w:r>
        <w:rPr>
          <w:b/>
          <w:bCs/>
          <w:sz w:val="21"/>
          <w:szCs w:val="21"/>
          <w:u w:val="single"/>
        </w:rPr>
        <w:t xml:space="preserve">13. DISPOSAL CONSIDERATIONS</w:t>
      </w:r>
    </w:p>
    <w:p>
      <w:pPr>
        <w:spacing w:after="60"/>
      </w:pPr>
      <w:r>
        <w:rPr>
          <w:sz w:val="20"/>
          <w:szCs w:val="20"/>
        </w:rPr>
        <w:t xml:space="preserve">Dispose of in accordance with local government guidelines. Product should not be disposed of into natural watercourses or storm water systems or directly to the environment without appropriate treatment.</w:t>
      </w:r>
    </w:p>
    <w:p>
      <w:pPr>
        <w:spacing w:after="60" w:before="220"/>
      </w:pPr>
      <w:r>
        <w:rPr>
          <w:b/>
          <w:bCs/>
          <w:sz w:val="21"/>
          <w:szCs w:val="21"/>
          <w:u w:val="single"/>
        </w:rPr>
        <w:t xml:space="preserve">14. TRANSPORT INFORMATION</w:t>
      </w:r>
    </w:p>
    <w:p>
      <w:pPr>
        <w:spacing w:after="60"/>
        <w:ind w:left="200"/>
      </w:pPr>
      <w:r>
        <w:rPr>
          <w:b/>
          <w:bCs/>
          <w:i/>
          <w:iCs/>
          <w:sz w:val="20"/>
          <w:szCs w:val="20"/>
        </w:rPr>
        <w:t xml:space="preserve">Classification: </w:t>
      </w:r>
      <w:r>
        <w:rPr>
          <w:sz w:val="20"/>
          <w:szCs w:val="20"/>
        </w:rPr>
        <w:t xml:space="preserve">This product is not labelled as a dangerous good and therefore does not have any special transport conditions.</w:t>
      </w:r>
    </w:p>
    <w:p>
      <w:pPr>
        <w:spacing w:after="60"/>
        <w:ind w:left="200"/>
      </w:pPr>
      <w:r>
        <w:rPr>
          <w:b/>
          <w:bCs/>
          <w:i/>
          <w:iCs/>
          <w:sz w:val="20"/>
          <w:szCs w:val="20"/>
        </w:rPr>
        <w:t xml:space="preserve">Road/Rail (DOT): </w:t>
      </w:r>
      <w:r>
        <w:rPr>
          <w:sz w:val="20"/>
          <w:szCs w:val="20"/>
        </w:rPr>
        <w:t xml:space="preserve">Non-Dangerous Goods (Non-DG)</w:t>
      </w:r>
    </w:p>
    <w:p>
      <w:pPr>
        <w:spacing w:after="60"/>
        <w:ind w:left="200"/>
      </w:pPr>
      <w:r>
        <w:rPr>
          <w:b/>
          <w:bCs/>
          <w:i/>
          <w:iCs/>
          <w:sz w:val="20"/>
          <w:szCs w:val="20"/>
        </w:rPr>
        <w:t xml:space="preserve">Sea (IMDG): </w:t>
      </w:r>
      <w:r>
        <w:rPr>
          <w:sz w:val="20"/>
          <w:szCs w:val="20"/>
        </w:rPr>
        <w:t xml:space="preserve">Non-Dangerous Goods (Non-DG)</w:t>
      </w:r>
    </w:p>
    <w:p>
      <w:pPr>
        <w:spacing w:after="60"/>
        <w:ind w:left="200"/>
      </w:pPr>
      <w:r>
        <w:rPr>
          <w:b/>
          <w:bCs/>
          <w:i/>
          <w:iCs/>
          <w:sz w:val="20"/>
          <w:szCs w:val="20"/>
        </w:rPr>
        <w:t xml:space="preserve">Air (IATA): </w:t>
      </w:r>
      <w:r>
        <w:rPr>
          <w:sz w:val="20"/>
          <w:szCs w:val="20"/>
        </w:rPr>
        <w:t xml:space="preserve">Non-Dangerous Goods (Non-DG) - permitted on passenger and cargo aircraft</w:t>
      </w:r>
    </w:p>
    <w:p>
      <w:pPr>
        <w:spacing w:after="60"/>
        <w:ind w:left="200"/>
      </w:pPr>
      <w:r>
        <w:rPr>
          <w:b/>
          <w:bCs/>
          <w:i/>
          <w:iCs/>
          <w:sz w:val="20"/>
          <w:szCs w:val="20"/>
        </w:rPr>
        <w:t xml:space="preserve">Hazchem Code: </w:t>
      </w:r>
      <w:r>
        <w:rPr>
          <w:sz w:val="20"/>
          <w:szCs w:val="20"/>
        </w:rPr>
        <w:t xml:space="preserve">N/A</w:t>
      </w:r>
    </w:p>
    <w:p>
      <w:pPr>
        <w:spacing w:after="60" w:before="220"/>
      </w:pPr>
      <w:r>
        <w:rPr>
          <w:b/>
          <w:bCs/>
          <w:sz w:val="21"/>
          <w:szCs w:val="21"/>
          <w:u w:val="single"/>
        </w:rPr>
        <w:t xml:space="preserve">15. REGULATORY INFORMATION</w:t>
      </w:r>
    </w:p>
    <w:p>
      <w:pPr>
        <w:spacing w:after="60"/>
        <w:ind w:left="200"/>
      </w:pPr>
      <w:r>
        <w:rPr>
          <w:b/>
          <w:bCs/>
          <w:i/>
          <w:iCs/>
          <w:sz w:val="20"/>
          <w:szCs w:val="20"/>
        </w:rPr>
        <w:t xml:space="preserve">SUSMP Poisons Schedule: </w:t>
      </w:r>
      <w:r>
        <w:rPr>
          <w:sz w:val="20"/>
          <w:szCs w:val="20"/>
        </w:rPr>
        <w:t xml:space="preserve">Not scheduled.</w:t>
      </w:r>
    </w:p>
    <w:p>
      <w:pPr>
        <w:spacing w:after="60"/>
        <w:ind w:left="200"/>
      </w:pPr>
      <w:r>
        <w:rPr>
          <w:b/>
          <w:bCs/>
          <w:i/>
          <w:iCs/>
          <w:sz w:val="20"/>
          <w:szCs w:val="20"/>
        </w:rPr>
        <w:t xml:space="preserve">ADG Code: </w:t>
      </w:r>
      <w:r>
        <w:rPr>
          <w:sz w:val="20"/>
          <w:szCs w:val="20"/>
        </w:rPr>
        <w:t xml:space="preserve">N/A</w:t>
      </w:r>
    </w:p>
    <w:p>
      <w:pPr>
        <w:spacing w:after="60"/>
        <w:ind w:left="200"/>
      </w:pPr>
      <w:r>
        <w:rPr>
          <w:b/>
          <w:bCs/>
          <w:i/>
          <w:iCs/>
          <w:sz w:val="20"/>
          <w:szCs w:val="20"/>
        </w:rPr>
        <w:t xml:space="preserve">Other Regulatory Notes: </w:t>
      </w:r>
      <w:r>
        <w:rPr>
          <w:sz w:val="20"/>
          <w:szCs w:val="20"/>
        </w:rPr>
        <w:t xml:space="preserve">Suitable for supply as an agricultural soil conditioner/biostimulant input, subject to applicable Indian Fertilizer Control Order (FCO) provisions and destination-country import regulations.</w:t>
      </w:r>
    </w:p>
    <w:p>
      <w:pPr>
        <w:spacing w:after="60"/>
      </w:pPr>
      <w:r>
        <w:rPr>
          <w:sz w:val="20"/>
          <w:szCs w:val="20"/>
        </w:rPr>
        <w:t xml:space="preserve">Declaration: The data and recommendations presented herein are based upon research of others and are believed to be accurate. However, no warranty is expressed or implied regarding this data or the results to be obtained from use thereof. ASES Chemical Works assumes no responsibility for injury to customers or third parties caused by the material if reasonable safety procedures are not adhered to as stipulated in this data sheet.</w:t>
      </w:r>
    </w:p>
    <w:p>
      <w:pPr>
        <w:spacing w:after="60" w:before="220"/>
      </w:pPr>
      <w:r>
        <w:rPr>
          <w:b/>
          <w:bCs/>
          <w:sz w:val="21"/>
          <w:szCs w:val="21"/>
          <w:u w:val="single"/>
        </w:rPr>
        <w:t xml:space="preserve">16. OTHER INFORMATION</w:t>
      </w:r>
    </w:p>
    <w:p>
      <w:pPr>
        <w:spacing w:after="60"/>
      </w:pPr>
      <w:r>
        <w:rPr>
          <w:sz w:val="20"/>
          <w:szCs w:val="20"/>
        </w:rPr>
        <w:t xml:space="preserve">This Material Safety Data Sheet has been prepared based on the product's Certificate of Analysis and general data available for fulvic acid / humic substance powders.</w:t>
      </w:r>
    </w:p>
    <w:p>
      <w:pPr>
        <w:spacing w:after="60"/>
      </w:pPr>
      <w:r>
        <w:rPr>
          <w:sz w:val="20"/>
          <w:szCs w:val="20"/>
        </w:rPr>
        <w:t xml:space="preserve">The information contained herein is offered in good faith and is believed to be accurate as of the date of issue. It does not constitute a guarantee of any specific property and users should verify suitability for their own application.</w:t>
      </w:r>
    </w:p>
    <w:p>
      <w:pPr>
        <w:spacing w:after="60"/>
      </w:pPr>
      <w:r>
        <w:rPr>
          <w:sz w:val="20"/>
          <w:szCs w:val="20"/>
        </w:rPr>
        <w:t xml:space="preserve">Date of Issue: 12-Aug-2026.</w:t>
      </w:r>
    </w:p>
    <w:p>
      <w:pPr>
        <w:spacing w:after="60"/>
      </w:pPr>
      <w:r>
        <w:rPr>
          <w:sz w:val="20"/>
          <w:szCs w:val="20"/>
        </w:rPr>
        <w:t xml:space="preserve">For further information, contact ASES Chemical Works at ecom@ases.in or +91 9636889954.</w:t>
      </w:r>
    </w:p>
    <w:sectPr>
      <w:pgSz w:w="11906" w:h="16838" w:orient="portrait"/>
      <w:pgMar w:top="700" w:right="900" w:bottom="7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2026-08-12T14:31:05.867Z</dcterms:created>
  <dcterms:modified xsi:type="dcterms:W3CDTF">2026-08-12T14:31:05.867Z</dcterms:modified>
</cp:coreProperties>
</file>

<file path=docProps/custom.xml><?xml version="1.0" encoding="utf-8"?>
<Properties xmlns="http://schemas.openxmlformats.org/officeDocument/2006/custom-properties" xmlns:vt="http://schemas.openxmlformats.org/officeDocument/2006/docPropsVTypes"/>
</file>