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rFonts w:ascii="Arial" w:cs="Arial" w:eastAsia="Arial" w:hAnsi="Arial"/>
          <w:b/>
          <w:bCs/>
          <w:sz w:val="32"/>
          <w:szCs w:val="32"/>
        </w:rPr>
        <w:t xml:space="preserve">MATERIAL SAFETY DATA SHEET (MSDS)</w:t>
      </w:r>
    </w:p>
    <w:p>
      <w:pPr>
        <w:spacing w:after="360"/>
        <w:jc w:val="center"/>
      </w:pPr>
      <w:r>
        <w:rPr>
          <w:rFonts w:ascii="Arial" w:cs="Arial" w:eastAsia="Arial" w:hAnsi="Arial"/>
          <w:b/>
          <w:bCs/>
          <w:sz w:val="28"/>
          <w:szCs w:val="28"/>
        </w:rPr>
        <w:t xml:space="preserve">HEDIONE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Manufacturer</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Ases Chemical Works</w:t>
            </w:r>
          </w:p>
        </w:tc>
      </w:tr>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Address</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Brahm Bagh, Jalori Gate</w:t>
            </w:r>
          </w:p>
          <w:p>
            <w:r>
              <w:t xml:space="preserve">Idgah Road, Jodhpur - 342001</w:t>
            </w:r>
          </w:p>
          <w:p>
            <w:r>
              <w:t xml:space="preserve">Rajasthan, India</w:t>
            </w:r>
          </w:p>
        </w:tc>
      </w:tr>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Contact</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Email: ecom@ases.in</w:t>
            </w:r>
          </w:p>
        </w:tc>
      </w:tr>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Issue Date</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May 2026</w:t>
            </w:r>
          </w:p>
        </w:tc>
      </w:tr>
    </w:tbl>
    <w:p>
      <w:pPr>
        <w:spacing w:after="240"/>
      </w:pPr>
    </w:p>
    <w:p>
      <w:pPr>
        <w:pStyle w:val="Heading1"/>
      </w:pPr>
      <w:r>
        <w:t xml:space="preserve">1. CHEMICAL PRODUCT AND COMPANY IDENTIFICATION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Product Name</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Hedione</w:t>
            </w:r>
          </w:p>
        </w:tc>
      </w:tr>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Chemical Name</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Methyl Dihydrojasmonate</w:t>
            </w:r>
          </w:p>
        </w:tc>
      </w:tr>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CAS Number</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24851-98-7</w:t>
            </w:r>
          </w:p>
        </w:tc>
      </w:tr>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Molecular Formula</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C₁₃H₂₂O₃</w:t>
            </w:r>
          </w:p>
        </w:tc>
      </w:tr>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Synonyms</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Methyl jasmonate dihydro</w:t>
            </w:r>
          </w:p>
        </w:tc>
      </w:tr>
      <w:tr>
        <w:tc>
          <w:tcPr>
            <w:tcW w:type="dxa" w:w="28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rPr>
                <w:b/>
                <w:bCs/>
              </w:rPr>
              <w:t xml:space="preserve">Product Use</w:t>
            </w:r>
          </w:p>
        </w:tc>
        <w:tc>
          <w:tcPr>
            <w:tcW w:type="dxa" w:w="65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Fragrance ingredient, perfumery, cosmetics</w:t>
            </w:r>
          </w:p>
        </w:tc>
      </w:tr>
    </w:tbl>
    <w:p>
      <w:pPr>
        <w:spacing w:after="240"/>
      </w:pPr>
    </w:p>
    <w:p>
      <w:pPr>
        <w:pStyle w:val="Heading1"/>
      </w:pPr>
      <w:r>
        <w:t xml:space="preserve">2. COMPOSITION/INFORMATION ON INGREDIENTS</w:t>
      </w:r>
    </w:p>
    <w:p>
      <w:pPr>
        <w:spacing w:after="120"/>
      </w:pPr>
      <w:r>
        <w:t xml:space="preserve">This product contains Methyl Dihydrojasmonate at &gt;95% purity. Minor components include related isomers and trace impurities.</w:t>
      </w:r>
    </w:p>
    <w:p>
      <w:pPr>
        <w:spacing w:after="240"/>
      </w:pPr>
    </w:p>
    <w:p>
      <w:pPr>
        <w:pStyle w:val="Heading1"/>
      </w:pPr>
      <w:r>
        <w:t xml:space="preserve">3. HAZARDS IDENTIFICATION</w:t>
      </w:r>
    </w:p>
    <w:p>
      <w:pPr>
        <w:spacing w:after="120"/>
      </w:pPr>
      <w:r>
        <w:rPr>
          <w:b/>
          <w:bCs/>
        </w:rPr>
        <w:t xml:space="preserve">Classification:</w:t>
      </w:r>
    </w:p>
    <w:p>
      <w:pPr>
        <w:spacing w:after="120"/>
      </w:pPr>
      <w:r>
        <w:t xml:space="preserve">Not classified as hazardous according to GHS criteria. Non-dangerous goods for air transport.</w:t>
      </w:r>
    </w:p>
    <w:p>
      <w:pPr>
        <w:spacing w:after="120"/>
      </w:pPr>
      <w:r>
        <w:rPr>
          <w:b/>
          <w:bCs/>
        </w:rPr>
        <w:t xml:space="preserve">Label Elements:</w:t>
      </w:r>
    </w:p>
    <w:p>
      <w:pPr>
        <w:spacing w:after="60"/>
      </w:pPr>
      <w:r>
        <w:t xml:space="preserve">Pictogram: None required</w:t>
      </w:r>
    </w:p>
    <w:p>
      <w:pPr>
        <w:spacing w:after="60"/>
      </w:pPr>
      <w:r>
        <w:t xml:space="preserve">Signal Word: None</w:t>
      </w:r>
    </w:p>
    <w:p>
      <w:pPr>
        <w:spacing w:after="120"/>
      </w:pPr>
      <w:r>
        <w:t xml:space="preserve">Hazard Statements: None</w:t>
      </w:r>
    </w:p>
    <w:p>
      <w:pPr>
        <w:spacing w:after="120"/>
      </w:pPr>
      <w:r>
        <w:rPr>
          <w:b/>
          <w:bCs/>
        </w:rPr>
        <w:t xml:space="preserve">Potential Health Effects:</w:t>
      </w:r>
    </w:p>
    <w:p>
      <w:pPr>
        <w:spacing w:after="60"/>
      </w:pPr>
      <w:r>
        <w:t xml:space="preserve">Eyes: May cause mild eye irritation</w:t>
      </w:r>
    </w:p>
    <w:p>
      <w:pPr>
        <w:spacing w:after="60"/>
      </w:pPr>
      <w:r>
        <w:t xml:space="preserve">Skin: May cause mild skin irritation in sensitive individuals</w:t>
      </w:r>
    </w:p>
    <w:p>
      <w:pPr>
        <w:spacing w:after="60"/>
      </w:pPr>
      <w:r>
        <w:t xml:space="preserve">Inhalation: Low hazard for usual industrial handling</w:t>
      </w:r>
    </w:p>
    <w:p>
      <w:pPr>
        <w:spacing w:after="120"/>
      </w:pPr>
      <w:r>
        <w:t xml:space="preserve">Ingestion: May cause gastrointestinal irritation if swallowed</w:t>
      </w:r>
    </w:p>
    <w:p>
      <w:pPr>
        <w:spacing w:after="240"/>
      </w:pPr>
    </w:p>
    <w:p>
      <w:pPr>
        <w:pStyle w:val="Heading1"/>
      </w:pPr>
      <w:r>
        <w:t xml:space="preserve">4. FIRST AID MEASURES</w:t>
      </w:r>
    </w:p>
    <w:p>
      <w:pPr>
        <w:spacing w:after="120"/>
      </w:pPr>
      <w:r>
        <w:rPr>
          <w:b/>
          <w:bCs/>
        </w:rPr>
        <w:t xml:space="preserve">Eye Contact:</w:t>
      </w:r>
    </w:p>
    <w:p>
      <w:pPr>
        <w:spacing w:after="120"/>
      </w:pPr>
      <w:r>
        <w:t xml:space="preserve">Rinse immediately with plenty of water for at least 15 minutes. Remove contact lenses if present. If irritation persists, seek medical attention.</w:t>
      </w:r>
    </w:p>
    <w:p>
      <w:pPr>
        <w:spacing w:after="120"/>
      </w:pPr>
      <w:r>
        <w:rPr>
          <w:b/>
          <w:bCs/>
        </w:rPr>
        <w:t xml:space="preserve">Skin Contact:</w:t>
      </w:r>
    </w:p>
    <w:p>
      <w:pPr>
        <w:spacing w:after="120"/>
      </w:pPr>
      <w:r>
        <w:t xml:space="preserve">Wash off with soap and plenty of water. Remove contaminated clothing. If irritation develops, seek medical attention.</w:t>
      </w:r>
    </w:p>
    <w:p>
      <w:pPr>
        <w:spacing w:after="120"/>
      </w:pPr>
      <w:r>
        <w:rPr>
          <w:b/>
          <w:bCs/>
        </w:rPr>
        <w:t xml:space="preserve">Inhalation:</w:t>
      </w:r>
    </w:p>
    <w:p>
      <w:pPr>
        <w:spacing w:after="120"/>
      </w:pPr>
      <w:r>
        <w:t xml:space="preserve">Move to fresh air. If symptoms persist, seek medical attention.</w:t>
      </w:r>
    </w:p>
    <w:p>
      <w:pPr>
        <w:spacing w:after="120"/>
      </w:pPr>
      <w:r>
        <w:rPr>
          <w:b/>
          <w:bCs/>
        </w:rPr>
        <w:t xml:space="preserve">Ingestion:</w:t>
      </w:r>
    </w:p>
    <w:p>
      <w:pPr>
        <w:spacing w:after="120"/>
      </w:pPr>
      <w:r>
        <w:t xml:space="preserve">Rinse mouth with water. Do NOT induce vomiting. Seek medical attention if symptoms develop.</w:t>
      </w:r>
    </w:p>
    <w:p>
      <w:pPr>
        <w:spacing w:after="240"/>
      </w:pPr>
    </w:p>
    <w:p>
      <w:pPr>
        <w:pStyle w:val="Heading1"/>
      </w:pPr>
      <w:r>
        <w:t xml:space="preserve">5. FIRE FIGHTING MEASURES</w:t>
      </w:r>
    </w:p>
    <w:p>
      <w:pPr>
        <w:spacing w:after="120"/>
      </w:pPr>
      <w:r>
        <w:rPr>
          <w:b/>
          <w:bCs/>
        </w:rPr>
        <w:t xml:space="preserve">Suitable Extinguishing Media:</w:t>
      </w:r>
    </w:p>
    <w:p>
      <w:pPr>
        <w:spacing w:after="120"/>
      </w:pPr>
      <w:r>
        <w:t xml:space="preserve">Water spray, dry chemical, foam, carbon dioxide (CO₂)</w:t>
      </w:r>
    </w:p>
    <w:p>
      <w:pPr>
        <w:spacing w:after="120"/>
      </w:pPr>
      <w:r>
        <w:rPr>
          <w:b/>
          <w:bCs/>
        </w:rPr>
        <w:t xml:space="preserve">Special Hazards:</w:t>
      </w:r>
    </w:p>
    <w:p>
      <w:pPr>
        <w:spacing w:after="120"/>
      </w:pPr>
      <w:r>
        <w:t xml:space="preserve">Combustion may produce carbon monoxide and carbon dioxide. Material is not classified as flammable.</w:t>
      </w:r>
    </w:p>
    <w:p>
      <w:pPr>
        <w:spacing w:after="240"/>
      </w:pPr>
    </w:p>
    <w:p>
      <w:pPr>
        <w:pStyle w:val="Heading1"/>
      </w:pPr>
      <w:r>
        <w:t xml:space="preserve">6. ACCIDENTAL RELEASE MEASURES</w:t>
      </w:r>
    </w:p>
    <w:p>
      <w:pPr>
        <w:spacing w:after="120"/>
      </w:pPr>
      <w:r>
        <w:rPr>
          <w:b/>
          <w:bCs/>
        </w:rPr>
        <w:t xml:space="preserve">Personal Precautions:</w:t>
      </w:r>
    </w:p>
    <w:p>
      <w:pPr>
        <w:spacing w:after="120"/>
      </w:pPr>
      <w:r>
        <w:t xml:space="preserve">Wear appropriate personal protective equipment. Ensure adequate ventilation.</w:t>
      </w:r>
    </w:p>
    <w:p>
      <w:pPr>
        <w:spacing w:after="120"/>
      </w:pPr>
      <w:r>
        <w:rPr>
          <w:b/>
          <w:bCs/>
        </w:rPr>
        <w:t xml:space="preserve">Cleanup:</w:t>
      </w:r>
    </w:p>
    <w:p>
      <w:pPr>
        <w:spacing w:after="120"/>
      </w:pPr>
      <w:r>
        <w:t xml:space="preserve">Absorb with inert material and place in appropriate waste container. Dispose according to local regulations.</w:t>
      </w:r>
    </w:p>
    <w:p>
      <w:pPr>
        <w:spacing w:after="240"/>
      </w:pPr>
    </w:p>
    <w:p>
      <w:pPr>
        <w:pStyle w:val="Heading1"/>
      </w:pPr>
      <w:r>
        <w:t xml:space="preserve">7. HANDLING AND STORAGE</w:t>
      </w:r>
    </w:p>
    <w:p>
      <w:pPr>
        <w:spacing w:after="120"/>
      </w:pPr>
      <w:r>
        <w:rPr>
          <w:b/>
          <w:bCs/>
        </w:rPr>
        <w:t xml:space="preserve">Handling:</w:t>
      </w:r>
    </w:p>
    <w:p>
      <w:pPr>
        <w:spacing w:after="120"/>
      </w:pPr>
      <w:r>
        <w:t xml:space="preserve">Use with adequate ventilation. Avoid contact with eyes and skin. Wash thoroughly after handling.</w:t>
      </w:r>
    </w:p>
    <w:p>
      <w:pPr>
        <w:spacing w:after="120"/>
      </w:pPr>
      <w:r>
        <w:rPr>
          <w:b/>
          <w:bCs/>
        </w:rPr>
        <w:t xml:space="preserve">Storage:</w:t>
      </w:r>
    </w:p>
    <w:p>
      <w:pPr>
        <w:spacing w:after="120"/>
      </w:pPr>
      <w:r>
        <w:t xml:space="preserve">Store in tightly closed containers in a cool, dry, well-ventilated area. Protect from light.</w:t>
      </w:r>
    </w:p>
    <w:p>
      <w:pPr>
        <w:spacing w:after="240"/>
      </w:pPr>
    </w:p>
    <w:p>
      <w:pPr>
        <w:pStyle w:val="Heading1"/>
      </w:pPr>
      <w:r>
        <w:t xml:space="preserve">8. EXPOSURE CONTROLS/PERSONAL PROTECTION</w:t>
      </w:r>
    </w:p>
    <w:p>
      <w:pPr>
        <w:spacing w:after="120"/>
      </w:pPr>
      <w:r>
        <w:rPr>
          <w:b/>
          <w:bCs/>
        </w:rPr>
        <w:t xml:space="preserve">Personal Protective Equipment:</w:t>
      </w:r>
    </w:p>
    <w:p>
      <w:pPr>
        <w:spacing w:after="60"/>
      </w:pPr>
      <w:r>
        <w:t xml:space="preserve">Eye Protection: Safety glasses recommended</w:t>
      </w:r>
    </w:p>
    <w:p>
      <w:pPr>
        <w:spacing w:after="60"/>
      </w:pPr>
      <w:r>
        <w:t xml:space="preserve">Skin Protection: Chemical-resistant gloves</w:t>
      </w:r>
    </w:p>
    <w:p>
      <w:pPr>
        <w:spacing w:after="120"/>
      </w:pPr>
      <w:r>
        <w:t xml:space="preserve">Respiratory Protection: Not normally required</w:t>
      </w:r>
    </w:p>
    <w:p>
      <w:pPr>
        <w:spacing w:after="240"/>
      </w:pPr>
    </w:p>
    <w:p>
      <w:pPr>
        <w:pStyle w:val="Heading1"/>
      </w:pPr>
      <w:r>
        <w:t xml:space="preserve">9. PHYSICAL AND CHEMICAL PROPERTIES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5160"/>
      </w:tblGrid>
      <w:tr>
        <w:tc>
          <w:tcPr>
            <w:tcW w:type="dxa" w:w="42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t xml:space="preserve">Appearance</w:t>
            </w:r>
          </w:p>
        </w:tc>
        <w:tc>
          <w:tcPr>
            <w:tcW w:type="dxa" w:w="51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Clear colorless to pale yellow liquid</w:t>
            </w:r>
          </w:p>
        </w:tc>
      </w:tr>
      <w:tr>
        <w:tc>
          <w:tcPr>
            <w:tcW w:type="dxa" w:w="42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t xml:space="preserve">Odor</w:t>
            </w:r>
          </w:p>
        </w:tc>
        <w:tc>
          <w:tcPr>
            <w:tcW w:type="dxa" w:w="51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Fresh, clean, jasmine-like floral</w:t>
            </w:r>
          </w:p>
        </w:tc>
      </w:tr>
      <w:tr>
        <w:tc>
          <w:tcPr>
            <w:tcW w:type="dxa" w:w="42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t xml:space="preserve">Molecular Weight</w:t>
            </w:r>
          </w:p>
        </w:tc>
        <w:tc>
          <w:tcPr>
            <w:tcW w:type="dxa" w:w="51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226.31 g/mol</w:t>
            </w:r>
          </w:p>
        </w:tc>
      </w:tr>
      <w:tr>
        <w:tc>
          <w:tcPr>
            <w:tcW w:type="dxa" w:w="42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t xml:space="preserve">Flash Point</w:t>
            </w:r>
          </w:p>
        </w:tc>
        <w:tc>
          <w:tcPr>
            <w:tcW w:type="dxa" w:w="51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&gt;100°C (&gt;212°F) - Not flammable</w:t>
            </w:r>
          </w:p>
        </w:tc>
      </w:tr>
      <w:tr>
        <w:tc>
          <w:tcPr>
            <w:tcW w:type="dxa" w:w="42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t xml:space="preserve">Specific Gravity</w:t>
            </w:r>
          </w:p>
        </w:tc>
        <w:tc>
          <w:tcPr>
            <w:tcW w:type="dxa" w:w="51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0.990-1.010 @ 25°C</w:t>
            </w:r>
          </w:p>
        </w:tc>
      </w:tr>
      <w:tr>
        <w:tc>
          <w:tcPr>
            <w:tcW w:type="dxa" w:w="4200"/>
            <w:tcBorders>
              <w:top w:val="single" w:color="000000" w:sz="1"/>
              <w:left w:val="single" w:color="000000" w:sz="1"/>
              <w:bottom w:val="single" w:color="000000" w:sz="1"/>
              <w:right w:val="single" w:color="000000" w:sz="1"/>
            </w:tcBorders>
            <w:shd w:fill="E7E6E6" w:val="clear"/>
            <w:tcMar>
              <w:top w:type="dxa" w:w="100"/>
              <w:left w:type="dxa" w:w="120"/>
              <w:bottom w:type="dxa" w:w="100"/>
              <w:right w:type="dxa" w:w="120"/>
            </w:tcMar>
          </w:tcPr>
          <w:p>
            <w:r>
              <w:t xml:space="preserve">Solubility in Water</w:t>
            </w:r>
          </w:p>
        </w:tc>
        <w:tc>
          <w:tcPr>
            <w:tcW w:type="dxa" w:w="5160"/>
            <w:tcBorders>
              <w:top w:val="single" w:color="000000" w:sz="1"/>
              <w:left w:val="single" w:color="000000" w:sz="1"/>
              <w:bottom w:val="single" w:color="000000" w:sz="1"/>
              <w:right w:val="single" w:color="000000" w:sz="1"/>
            </w:tcBorders>
            <w:tcMar>
              <w:top w:type="dxa" w:w="100"/>
              <w:left w:type="dxa" w:w="120"/>
              <w:bottom w:type="dxa" w:w="100"/>
              <w:right w:type="dxa" w:w="120"/>
            </w:tcMar>
          </w:tcPr>
          <w:p>
            <w:r>
              <w:t xml:space="preserve">Practically insoluble</w:t>
            </w:r>
          </w:p>
        </w:tc>
      </w:tr>
    </w:tbl>
    <w:p>
      <w:pPr>
        <w:spacing w:after="240"/>
      </w:pPr>
    </w:p>
    <w:p>
      <w:pPr>
        <w:pStyle w:val="Heading1"/>
      </w:pPr>
      <w:r>
        <w:t xml:space="preserve">10. STABILITY AND REACTIVITY</w:t>
      </w:r>
    </w:p>
    <w:p>
      <w:pPr>
        <w:spacing w:after="120"/>
      </w:pPr>
      <w:r>
        <w:t xml:space="preserve">Stable under normal storage and handling conditions. Avoid excessive heat and strong oxidizing agents.</w:t>
      </w:r>
    </w:p>
    <w:p>
      <w:pPr>
        <w:spacing w:after="240"/>
      </w:pPr>
    </w:p>
    <w:p>
      <w:pPr>
        <w:pStyle w:val="Heading1"/>
      </w:pPr>
      <w:r>
        <w:t xml:space="preserve">11. TOXICOLOGICAL INFORMATION</w:t>
      </w:r>
    </w:p>
    <w:p>
      <w:pPr>
        <w:spacing w:after="120"/>
      </w:pPr>
      <w:r>
        <w:t xml:space="preserve">Oral LD50 (rat): &gt;5000 mg/kg (low toxicity). May cause mild skin or eye irritation. Not classified as carcinogenic or mutagenic.</w:t>
      </w:r>
    </w:p>
    <w:p>
      <w:pPr>
        <w:spacing w:after="240"/>
      </w:pPr>
    </w:p>
    <w:p>
      <w:pPr>
        <w:pStyle w:val="Heading1"/>
      </w:pPr>
      <w:r>
        <w:t xml:space="preserve">12. ECOLOGICAL INFORMATION</w:t>
      </w:r>
    </w:p>
    <w:p>
      <w:pPr>
        <w:spacing w:after="120"/>
      </w:pPr>
      <w:r>
        <w:t xml:space="preserve">Expected to be readily biodegradable. Low bioaccumulation potential. Low aquatic toxicity.</w:t>
      </w:r>
    </w:p>
    <w:p>
      <w:pPr>
        <w:spacing w:after="240"/>
      </w:pPr>
    </w:p>
    <w:p>
      <w:pPr>
        <w:pStyle w:val="Heading1"/>
      </w:pPr>
      <w:r>
        <w:t xml:space="preserve">13. DISPOSAL CONSIDERATIONS</w:t>
      </w:r>
    </w:p>
    <w:p>
      <w:pPr>
        <w:spacing w:after="120"/>
      </w:pPr>
      <w:r>
        <w:t xml:space="preserve">Dispose in accordance with local regulations. Incineration is preferred. Do not discharge into drains.</w:t>
      </w:r>
    </w:p>
    <w:p>
      <w:pPr>
        <w:spacing w:after="240"/>
      </w:pPr>
    </w:p>
    <w:p>
      <w:pPr>
        <w:pStyle w:val="Heading1"/>
      </w:pPr>
      <w:r>
        <w:t xml:space="preserve">14. TRANSPORT INFORMATION</w:t>
      </w:r>
    </w:p>
    <w:p>
      <w:pPr>
        <w:spacing w:after="120"/>
      </w:pPr>
      <w:r>
        <w:rPr>
          <w:b/>
          <w:bCs/>
        </w:rPr>
        <w:t xml:space="preserve">UN Number:</w:t>
      </w:r>
    </w:p>
    <w:p>
      <w:pPr>
        <w:spacing w:after="120"/>
      </w:pPr>
      <w:r>
        <w:t xml:space="preserve">Not classified as dangerous goods for transport</w:t>
      </w:r>
    </w:p>
    <w:p>
      <w:pPr>
        <w:spacing w:after="120"/>
      </w:pPr>
      <w:r>
        <w:rPr>
          <w:b/>
          <w:bCs/>
        </w:rPr>
        <w:t xml:space="preserve">Transport Hazard Class:</w:t>
      </w:r>
    </w:p>
    <w:p>
      <w:pPr>
        <w:spacing w:after="120"/>
      </w:pPr>
      <w:r>
        <w:t xml:space="preserve">Not applicable</w:t>
      </w:r>
    </w:p>
    <w:p>
      <w:pPr>
        <w:spacing w:after="120"/>
      </w:pPr>
      <w:r>
        <w:rPr>
          <w:b/>
          <w:bCs/>
        </w:rPr>
        <w:t xml:space="preserve">Special Precautions:</w:t>
      </w:r>
    </w:p>
    <w:p>
      <w:pPr>
        <w:spacing w:after="60"/>
      </w:pPr>
      <w:r>
        <w:t xml:space="preserve">None required. Product is non-dangerous for air, sea, and land transport.</w:t>
      </w:r>
    </w:p>
    <w:p>
      <w:pPr>
        <w:spacing w:after="120"/>
      </w:pPr>
      <w:r>
        <w:rPr>
          <w:b/>
          <w:bCs/>
          <w:i/>
          <w:iCs/>
        </w:rPr>
        <w:t xml:space="preserve">IATA (Air Transport):</w:t>
      </w:r>
      <w:r>
        <w:t xml:space="preserve"> Not restricted - suitable for air cargo</w:t>
      </w:r>
    </w:p>
    <w:p>
      <w:pPr>
        <w:spacing w:after="240"/>
      </w:pPr>
    </w:p>
    <w:p>
      <w:pPr>
        <w:pStyle w:val="Heading1"/>
      </w:pPr>
      <w:r>
        <w:t xml:space="preserve">15. REGULATORY INFORMATION</w:t>
      </w:r>
    </w:p>
    <w:p>
      <w:pPr>
        <w:spacing w:after="120"/>
      </w:pPr>
      <w:r>
        <w:t xml:space="preserve">Complies with IFRA standards. Listed on TSCA, REACH, and major chemical inventories. Complies with Indian Cosmetics Rules.</w:t>
      </w:r>
    </w:p>
    <w:p>
      <w:pPr>
        <w:spacing w:after="240"/>
      </w:pPr>
    </w:p>
    <w:p>
      <w:pPr>
        <w:pStyle w:val="Heading1"/>
      </w:pPr>
      <w:r>
        <w:t xml:space="preserve">16. OTHER INFORMATION</w:t>
      </w:r>
    </w:p>
    <w:p>
      <w:pPr>
        <w:spacing w:after="120"/>
      </w:pPr>
      <w:r>
        <w:t xml:space="preserve">Preparation Date: May 2026 | Version 1.0</w:t>
      </w:r>
    </w:p>
    <w:p>
      <w:pPr>
        <w:spacing w:after="180"/>
      </w:pPr>
      <w:r>
        <w:rPr>
          <w:b/>
          <w:bCs/>
        </w:rPr>
        <w:t xml:space="preserve">Disclaimer:</w:t>
      </w:r>
    </w:p>
    <w:p>
      <w:pPr>
        <w:spacing w:after="120"/>
      </w:pPr>
      <w:r>
        <w:t xml:space="preserve">The information herein is based on data considered accurate. However, no warranty is expressed or implied. Ases Chemical Works assumes no responsibility for injury or damage from misuse of the product.</w:t>
      </w:r>
    </w:p>
    <w:p>
      <w:pPr>
        <w:pBdr>
          <w:top w:val="single" w:color="000000" w:sz="6"/>
        </w:pBdr>
        <w:spacing w:before="480"/>
        <w:jc w:val="center"/>
      </w:pPr>
      <w:r>
        <w:rPr>
          <w:b/>
          <w:bCs/>
          <w:sz w:val="20"/>
          <w:szCs w:val="20"/>
        </w:rPr>
        <w:t xml:space="preserve">END OF MATERIAL SAFETY DATA SHEET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00000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2026-05-08T02:42:17.606Z</dcterms:created>
  <dcterms:modified xsi:type="dcterms:W3CDTF">2026-05-08T02:42:17.626Z</dcterms:modified>
</cp:coreProperties>
</file>

<file path=docProps/custom.xml><?xml version="1.0" encoding="utf-8"?>
<Properties xmlns="http://schemas.openxmlformats.org/officeDocument/2006/custom-properties" xmlns:vt="http://schemas.openxmlformats.org/officeDocument/2006/docPropsVTypes"/>
</file>